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CD" w:rsidRDefault="001D39CD" w:rsidP="001D39CD">
      <w:pPr>
        <w:shd w:val="clear" w:color="auto" w:fill="FFFFFF"/>
        <w:bidi w:val="0"/>
        <w:spacing w:after="300" w:line="336" w:lineRule="atLeast"/>
        <w:jc w:val="right"/>
        <w:textAlignment w:val="baseline"/>
        <w:outlineLvl w:val="0"/>
        <w:rPr>
          <w:rFonts w:ascii="Tahoma" w:eastAsia="Times New Roman" w:hAnsi="Tahoma" w:cs="Tahoma" w:hint="cs"/>
          <w:color w:val="2C5E69"/>
          <w:kern w:val="36"/>
          <w:sz w:val="39"/>
          <w:szCs w:val="39"/>
          <w:rtl/>
        </w:rPr>
      </w:pPr>
      <w:r w:rsidRPr="001D39CD">
        <w:rPr>
          <w:rFonts w:ascii="Tahoma" w:eastAsia="Times New Roman" w:hAnsi="Tahoma" w:cs="Tahoma"/>
          <w:color w:val="2C5E69"/>
          <w:kern w:val="36"/>
          <w:sz w:val="39"/>
          <w:szCs w:val="39"/>
          <w:rtl/>
        </w:rPr>
        <w:t>سياسة مصفوفة الصلاحيات بين مجلس الإدارة والإدارة التنفيذية</w:t>
      </w:r>
    </w:p>
    <w:p w:rsidR="00A31949" w:rsidRPr="001D39CD" w:rsidRDefault="00A31949" w:rsidP="00A31949">
      <w:pPr>
        <w:shd w:val="clear" w:color="auto" w:fill="FFFFFF"/>
        <w:bidi w:val="0"/>
        <w:spacing w:after="300" w:line="336" w:lineRule="atLeast"/>
        <w:jc w:val="right"/>
        <w:textAlignment w:val="baseline"/>
        <w:outlineLvl w:val="0"/>
        <w:rPr>
          <w:rFonts w:ascii="Tahoma" w:eastAsia="Times New Roman" w:hAnsi="Tahoma" w:cs="Tahoma"/>
          <w:color w:val="2C5E69"/>
          <w:kern w:val="36"/>
          <w:sz w:val="39"/>
          <w:szCs w:val="39"/>
        </w:rPr>
      </w:pPr>
    </w:p>
    <w:p w:rsidR="001D39CD" w:rsidRPr="001D39CD" w:rsidRDefault="001D39CD" w:rsidP="00A017A4">
      <w:pPr>
        <w:shd w:val="clear" w:color="auto" w:fill="FFFFFF"/>
        <w:bidi w:val="0"/>
        <w:spacing w:after="300" w:line="336" w:lineRule="atLeast"/>
        <w:jc w:val="right"/>
        <w:textAlignment w:val="baseline"/>
        <w:outlineLvl w:val="0"/>
        <w:rPr>
          <w:rFonts w:asciiTheme="minorBidi" w:eastAsia="Times New Roman" w:hAnsiTheme="minorBidi"/>
          <w:b/>
          <w:bCs/>
          <w:color w:val="2C5E69"/>
          <w:kern w:val="36"/>
          <w:sz w:val="30"/>
          <w:szCs w:val="30"/>
        </w:rPr>
      </w:pPr>
      <w:r w:rsidRPr="00A017A4">
        <w:rPr>
          <w:rFonts w:asciiTheme="minorBidi" w:eastAsia="Times New Roman" w:hAnsiTheme="minorBidi"/>
          <w:b/>
          <w:bCs/>
          <w:color w:val="2C5E69"/>
          <w:kern w:val="36"/>
          <w:sz w:val="30"/>
          <w:szCs w:val="30"/>
          <w:rtl/>
        </w:rPr>
        <w:t>مقدمة</w:t>
      </w:r>
    </w:p>
    <w:p w:rsidR="001D39CD" w:rsidRPr="001D39CD" w:rsidRDefault="001D39CD" w:rsidP="00A31949">
      <w:pPr>
        <w:shd w:val="clear" w:color="auto" w:fill="FFFFFF"/>
        <w:bidi w:val="0"/>
        <w:spacing w:after="0" w:line="360" w:lineRule="auto"/>
        <w:jc w:val="right"/>
        <w:textAlignment w:val="baseline"/>
        <w:rPr>
          <w:rFonts w:ascii="Tahoma" w:eastAsia="Times New Roman" w:hAnsi="Tahoma" w:cs="Tahoma" w:hint="cs"/>
          <w:color w:val="0A0A0A"/>
          <w:sz w:val="21"/>
          <w:szCs w:val="21"/>
        </w:rPr>
      </w:pPr>
      <w:r w:rsidRPr="00A31949">
        <w:rPr>
          <w:rFonts w:asciiTheme="minorBidi" w:eastAsia="Times New Roman" w:hAnsiTheme="minorBidi"/>
          <w:color w:val="0A0A0A"/>
          <w:sz w:val="30"/>
          <w:szCs w:val="30"/>
          <w:bdr w:val="none" w:sz="0" w:space="0" w:color="auto" w:frame="1"/>
          <w:rtl/>
        </w:rPr>
        <w:t>إن سياسة مصفوفة الصلاحيات بين مجلس الإدارة والإدارة التنفيذية تعد مطلباً أساسياً من متطلبات ضوابط الرقابة الداخلية في الجمعية حيث أنها تعمل على تحديد المسئوليات والصلاحيات لشاغلي الوظائف الإدارية التنفيذية العليا لاعتماد القرارات والمعاملات في الجمعية والتي من شأنها أن تعزز من ضبط وحوكمت مسارات تدفق المعاملات والإجراءات لتمنع مخاطر الفساد والاحتيال</w:t>
      </w:r>
      <w:r w:rsidR="00A017A4" w:rsidRPr="00A31949">
        <w:rPr>
          <w:rFonts w:asciiTheme="minorBidi" w:eastAsia="Times New Roman" w:hAnsiTheme="minorBidi"/>
          <w:color w:val="0A0A0A"/>
          <w:sz w:val="30"/>
          <w:szCs w:val="30"/>
          <w:bdr w:val="none" w:sz="0" w:space="0" w:color="auto" w:frame="1"/>
          <w:rtl/>
        </w:rPr>
        <w:t xml:space="preserve"> </w:t>
      </w:r>
      <w:r w:rsidR="00A017A4">
        <w:rPr>
          <w:rFonts w:ascii="Tahoma" w:eastAsia="Times New Roman" w:hAnsi="Tahoma" w:cs="Tahoma" w:hint="cs"/>
          <w:b/>
          <w:bCs/>
          <w:color w:val="0A0A0A"/>
          <w:sz w:val="21"/>
          <w:szCs w:val="21"/>
          <w:bdr w:val="none" w:sz="0" w:space="0" w:color="auto" w:frame="1"/>
          <w:rtl/>
        </w:rPr>
        <w:t>.</w:t>
      </w:r>
    </w:p>
    <w:p w:rsidR="00A017A4" w:rsidRDefault="00A017A4" w:rsidP="00A017A4">
      <w:pPr>
        <w:shd w:val="clear" w:color="auto" w:fill="FFFFFF"/>
        <w:bidi w:val="0"/>
        <w:spacing w:after="300" w:line="336" w:lineRule="atLeast"/>
        <w:jc w:val="right"/>
        <w:textAlignment w:val="baseline"/>
        <w:outlineLvl w:val="0"/>
        <w:rPr>
          <w:rFonts w:ascii="Tahoma" w:eastAsia="Times New Roman" w:hAnsi="Tahoma" w:cs="Tahoma"/>
          <w:b/>
          <w:bCs/>
          <w:color w:val="2C5E69"/>
          <w:kern w:val="36"/>
          <w:sz w:val="26"/>
          <w:szCs w:val="26"/>
          <w:rtl/>
        </w:rPr>
      </w:pPr>
    </w:p>
    <w:p w:rsidR="001D39CD" w:rsidRPr="00A017A4" w:rsidRDefault="001D39CD" w:rsidP="00A017A4">
      <w:pPr>
        <w:shd w:val="clear" w:color="auto" w:fill="FFFFFF"/>
        <w:bidi w:val="0"/>
        <w:spacing w:after="300" w:line="336" w:lineRule="atLeast"/>
        <w:jc w:val="right"/>
        <w:textAlignment w:val="baseline"/>
        <w:outlineLvl w:val="0"/>
        <w:rPr>
          <w:rFonts w:asciiTheme="minorBidi" w:eastAsia="Times New Roman" w:hAnsiTheme="minorBidi" w:hint="cs"/>
          <w:b/>
          <w:bCs/>
          <w:color w:val="2C5E69"/>
          <w:kern w:val="36"/>
          <w:sz w:val="30"/>
          <w:szCs w:val="30"/>
          <w:rtl/>
        </w:rPr>
      </w:pPr>
      <w:r w:rsidRPr="00A017A4">
        <w:rPr>
          <w:rFonts w:asciiTheme="minorBidi" w:eastAsia="Times New Roman" w:hAnsiTheme="minorBidi"/>
          <w:b/>
          <w:bCs/>
          <w:color w:val="2C5E69"/>
          <w:kern w:val="36"/>
          <w:sz w:val="30"/>
          <w:szCs w:val="30"/>
          <w:rtl/>
        </w:rPr>
        <w:t>النطاق</w:t>
      </w:r>
    </w:p>
    <w:p w:rsidR="001D39CD" w:rsidRPr="00A31949" w:rsidRDefault="001D39CD" w:rsidP="00A31949">
      <w:pPr>
        <w:shd w:val="clear" w:color="auto" w:fill="FFFFFF"/>
        <w:bidi w:val="0"/>
        <w:spacing w:after="0" w:line="360" w:lineRule="auto"/>
        <w:jc w:val="right"/>
        <w:textAlignment w:val="baseline"/>
        <w:rPr>
          <w:rFonts w:asciiTheme="minorBidi" w:eastAsia="Times New Roman" w:hAnsiTheme="minorBidi" w:hint="cs"/>
          <w:color w:val="0A0A0A"/>
          <w:sz w:val="30"/>
          <w:szCs w:val="30"/>
          <w:bdr w:val="none" w:sz="0" w:space="0" w:color="auto" w:frame="1"/>
          <w:rtl/>
        </w:rPr>
      </w:pPr>
      <w:r w:rsidRPr="00A31949">
        <w:rPr>
          <w:rFonts w:asciiTheme="minorBidi" w:eastAsia="Times New Roman" w:hAnsiTheme="minorBidi"/>
          <w:color w:val="0A0A0A"/>
          <w:sz w:val="30"/>
          <w:szCs w:val="30"/>
          <w:bdr w:val="none" w:sz="0" w:space="0" w:color="auto" w:frame="1"/>
          <w:rtl/>
        </w:rPr>
        <w:t>تحدد هذه السياسة المسؤوليات العامة على كافة العاملين ومن لهم علاقات تعاقدية وتطوعية في الجمعية ويستثنى من ذلك من تصدر لهم سياسات وظيفية خاصة وفقاً للأنظمة</w:t>
      </w:r>
    </w:p>
    <w:p w:rsidR="00A017A4" w:rsidRPr="001D39CD" w:rsidRDefault="00A017A4" w:rsidP="00A017A4">
      <w:pPr>
        <w:shd w:val="clear" w:color="auto" w:fill="FFFFFF"/>
        <w:bidi w:val="0"/>
        <w:spacing w:after="0" w:line="408" w:lineRule="atLeast"/>
        <w:jc w:val="right"/>
        <w:textAlignment w:val="baseline"/>
        <w:rPr>
          <w:rFonts w:ascii="Tahoma" w:eastAsia="Times New Roman" w:hAnsi="Tahoma" w:cs="Tahoma"/>
          <w:color w:val="0A0A0A"/>
          <w:sz w:val="21"/>
          <w:szCs w:val="21"/>
        </w:rPr>
      </w:pPr>
    </w:p>
    <w:p w:rsidR="001D39CD" w:rsidRPr="00A017A4" w:rsidRDefault="001D39CD" w:rsidP="00A017A4">
      <w:pPr>
        <w:shd w:val="clear" w:color="auto" w:fill="FFFFFF"/>
        <w:bidi w:val="0"/>
        <w:spacing w:after="300" w:line="336" w:lineRule="atLeast"/>
        <w:jc w:val="right"/>
        <w:textAlignment w:val="baseline"/>
        <w:outlineLvl w:val="0"/>
        <w:rPr>
          <w:rFonts w:asciiTheme="minorBidi" w:eastAsia="Times New Roman" w:hAnsiTheme="minorBidi"/>
          <w:b/>
          <w:bCs/>
          <w:color w:val="2C5E69"/>
          <w:kern w:val="36"/>
          <w:sz w:val="30"/>
          <w:szCs w:val="30"/>
          <w:rtl/>
        </w:rPr>
      </w:pPr>
      <w:r w:rsidRPr="00A017A4">
        <w:rPr>
          <w:rFonts w:asciiTheme="minorBidi" w:eastAsia="Times New Roman" w:hAnsiTheme="minorBidi"/>
          <w:b/>
          <w:bCs/>
          <w:color w:val="2C5E69"/>
          <w:kern w:val="36"/>
          <w:sz w:val="30"/>
          <w:szCs w:val="30"/>
          <w:rtl/>
        </w:rPr>
        <w:t>البيان</w:t>
      </w:r>
    </w:p>
    <w:p w:rsidR="001D39CD" w:rsidRPr="001D39CD" w:rsidRDefault="001D39CD" w:rsidP="00A017A4">
      <w:pPr>
        <w:shd w:val="clear" w:color="auto" w:fill="FFFFFF"/>
        <w:bidi w:val="0"/>
        <w:spacing w:after="300" w:line="336" w:lineRule="atLeast"/>
        <w:jc w:val="right"/>
        <w:textAlignment w:val="baseline"/>
        <w:outlineLvl w:val="0"/>
        <w:rPr>
          <w:rFonts w:asciiTheme="minorBidi" w:eastAsia="Times New Roman" w:hAnsiTheme="minorBidi"/>
          <w:b/>
          <w:bCs/>
          <w:color w:val="2C5E69"/>
          <w:kern w:val="36"/>
          <w:sz w:val="30"/>
          <w:szCs w:val="30"/>
        </w:rPr>
      </w:pPr>
      <w:r w:rsidRPr="00A017A4">
        <w:rPr>
          <w:rFonts w:asciiTheme="minorBidi" w:eastAsia="Times New Roman" w:hAnsiTheme="minorBidi"/>
          <w:b/>
          <w:bCs/>
          <w:color w:val="2C5E69"/>
          <w:kern w:val="36"/>
          <w:sz w:val="30"/>
          <w:szCs w:val="30"/>
          <w:rtl/>
        </w:rPr>
        <w:t>أولاً: مصفوفة صلاحيات مجلس الإدارة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اعتماد التوجيهات الأساسية والأهداف الرئيسية للجمعية والإشراف على تنفيذها</w:t>
      </w:r>
    </w:p>
    <w:p w:rsidR="00A31949" w:rsidRPr="001D39CD" w:rsidRDefault="001D39CD" w:rsidP="00A31949">
      <w:pPr>
        <w:shd w:val="clear" w:color="auto" w:fill="FFFFFF"/>
        <w:bidi w:val="0"/>
        <w:spacing w:after="0" w:line="360" w:lineRule="auto"/>
        <w:jc w:val="right"/>
        <w:textAlignment w:val="baseline"/>
        <w:rPr>
          <w:rFonts w:asciiTheme="minorBidi" w:eastAsia="Times New Roman" w:hAnsiTheme="minorBidi" w:hint="cs"/>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اعتماد الأنظمة واللوائح والضوابط للرقابة الداخلية والإشراف عليها، وما يتبع ذلك</w:t>
      </w:r>
      <w:r w:rsidR="00A31949">
        <w:rPr>
          <w:rFonts w:asciiTheme="minorBidi" w:eastAsia="Times New Roman" w:hAnsiTheme="minorBidi" w:hint="cs"/>
          <w:color w:val="0A0A0A"/>
          <w:sz w:val="30"/>
          <w:szCs w:val="30"/>
          <w:bdr w:val="none" w:sz="0" w:space="0" w:color="auto" w:frame="1"/>
          <w:rtl/>
        </w:rPr>
        <w:t xml:space="preserve"> </w:t>
      </w:r>
      <w:r w:rsidR="00A31949" w:rsidRPr="00A31949">
        <w:rPr>
          <w:rFonts w:asciiTheme="minorBidi" w:eastAsia="Times New Roman" w:hAnsiTheme="minorBidi"/>
          <w:color w:val="0A0A0A"/>
          <w:sz w:val="30"/>
          <w:szCs w:val="30"/>
          <w:bdr w:val="none" w:sz="0" w:space="0" w:color="auto" w:frame="1"/>
          <w:rtl/>
        </w:rPr>
        <w:t>من تحديد للمهام والاختصاصات والواجبات والمسؤوليات</w:t>
      </w:r>
      <w:r w:rsidR="00A31949">
        <w:rPr>
          <w:rFonts w:asciiTheme="minorBidi" w:eastAsia="Times New Roman" w:hAnsiTheme="minorBidi"/>
          <w:color w:val="0A0A0A"/>
          <w:sz w:val="30"/>
          <w:szCs w:val="30"/>
          <w:bdr w:val="none" w:sz="0" w:space="0" w:color="auto" w:frame="1"/>
          <w:rtl/>
        </w:rPr>
        <w:t xml:space="preserve"> بين المستويات الوظيفية المختلف</w:t>
      </w:r>
      <w:r w:rsidR="00A31949">
        <w:rPr>
          <w:rFonts w:asciiTheme="minorBidi" w:eastAsia="Times New Roman" w:hAnsiTheme="minorBidi" w:hint="cs"/>
          <w:color w:val="0A0A0A"/>
          <w:sz w:val="30"/>
          <w:szCs w:val="30"/>
          <w:bdr w:val="none" w:sz="0" w:space="0" w:color="auto" w:frame="1"/>
          <w:rtl/>
        </w:rPr>
        <w:t>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وضع نظام للحوكمة خاص بالجمعية والإشراف العام عليه ومراقبة مدى فاعليته وتعديله إن دعت الحاجة بما لا يتعارض مع ما تقرره جهة الإشراف على الجمعية</w:t>
      </w:r>
      <w:r w:rsidRPr="00A31949">
        <w:rPr>
          <w:rFonts w:asciiTheme="minorBidi" w:eastAsia="Times New Roman" w:hAnsiTheme="minorBidi"/>
          <w:color w:val="0A0A0A"/>
          <w:sz w:val="30"/>
          <w:szCs w:val="30"/>
          <w:bdr w:val="none" w:sz="0" w:space="0" w:color="auto" w:frame="1"/>
        </w:rPr>
        <w:t xml:space="preserve"> </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وضع واعتماد سياسة مكتوبة تنظم العالقة مع أصحاب المصالح من أجل حمايتهم وحفظ حقوقهم</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وضع واعتماد سياسة لتفويض وتنفيذ الأعمال المنوطة بالإدارة التنفيذية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وضع واعتماد السياسات والإجراءات التي تضمن التزام الجمعية للأنظمة واللوائح والتزامها بالإفصاح عن المعلومات الجوهرية لأصحاب المصالح مع الجمعية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اعتماد السياسات الداخلية المتعلقة بعمل الجمعية وتطويرها</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lastRenderedPageBreak/>
        <w:t>تحديد الصلاحيات والاختصاصات والمسؤوليات التي يتم تفويضها للإدارة التنفيذية وإجراءات اتخاذ القرار ومدة التفويض</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كما يحدد المجلس الموضوعات التي يحتفظ بصلاحية البت فيها</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وضع موجهات ومعايير عامة للاستثمارات</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إدارة الاستثمارات والأنشطة العقارية للجمعية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تحديد التصور العام للمخاطر التي تواجه الجمعية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مراجعة وتقييم أداء الرئيس/المدير التنفيذي وتوفير الدعم له</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الاعتمادات المالية والتوقيعات على أوامر الصرف والشيكات</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البت في التعيين والفصل لشاغلي الوظائف الإدارية العليا</w:t>
      </w:r>
    </w:p>
    <w:p w:rsidR="00A017A4" w:rsidRPr="00A31949" w:rsidRDefault="001D39CD" w:rsidP="00A31949">
      <w:pPr>
        <w:shd w:val="clear" w:color="auto" w:fill="FFFFFF"/>
        <w:bidi w:val="0"/>
        <w:spacing w:after="0" w:line="360" w:lineRule="auto"/>
        <w:jc w:val="right"/>
        <w:textAlignment w:val="baseline"/>
        <w:rPr>
          <w:rFonts w:asciiTheme="minorBidi" w:eastAsia="Times New Roman" w:hAnsiTheme="minorBidi" w:hint="cs"/>
          <w:color w:val="0A0A0A"/>
          <w:sz w:val="30"/>
          <w:szCs w:val="30"/>
          <w:bdr w:val="none" w:sz="0" w:space="0" w:color="auto" w:frame="1"/>
          <w:rtl/>
        </w:rPr>
      </w:pPr>
      <w:r w:rsidRPr="00A31949">
        <w:rPr>
          <w:rFonts w:asciiTheme="minorBidi" w:eastAsia="Times New Roman" w:hAnsiTheme="minorBidi"/>
          <w:color w:val="0A0A0A"/>
          <w:sz w:val="30"/>
          <w:szCs w:val="30"/>
          <w:bdr w:val="none" w:sz="0" w:space="0" w:color="auto" w:frame="1"/>
          <w:rtl/>
        </w:rPr>
        <w:t>إقرار واعتماد الهيكل التنظيمي والتعديلات الطارئة عليه</w:t>
      </w:r>
    </w:p>
    <w:p w:rsidR="00A017A4" w:rsidRDefault="00A017A4" w:rsidP="00A017A4">
      <w:pPr>
        <w:shd w:val="clear" w:color="auto" w:fill="FFFFFF"/>
        <w:bidi w:val="0"/>
        <w:spacing w:after="300" w:line="336" w:lineRule="atLeast"/>
        <w:jc w:val="right"/>
        <w:textAlignment w:val="baseline"/>
        <w:outlineLvl w:val="0"/>
        <w:rPr>
          <w:rFonts w:ascii="Tahoma" w:eastAsia="Times New Roman" w:hAnsi="Tahoma" w:cs="Tahoma"/>
          <w:b/>
          <w:bCs/>
          <w:color w:val="0A0A0A"/>
          <w:sz w:val="21"/>
          <w:szCs w:val="21"/>
          <w:bdr w:val="none" w:sz="0" w:space="0" w:color="auto" w:frame="1"/>
          <w:rtl/>
        </w:rPr>
      </w:pPr>
    </w:p>
    <w:p w:rsidR="001D39CD" w:rsidRPr="001D39CD" w:rsidRDefault="001D39CD" w:rsidP="00A017A4">
      <w:pPr>
        <w:shd w:val="clear" w:color="auto" w:fill="FFFFFF"/>
        <w:bidi w:val="0"/>
        <w:spacing w:after="300" w:line="336" w:lineRule="atLeast"/>
        <w:jc w:val="right"/>
        <w:textAlignment w:val="baseline"/>
        <w:outlineLvl w:val="0"/>
        <w:rPr>
          <w:rFonts w:asciiTheme="minorBidi" w:eastAsia="Times New Roman" w:hAnsiTheme="minorBidi"/>
          <w:b/>
          <w:bCs/>
          <w:color w:val="2C5E69"/>
          <w:kern w:val="36"/>
          <w:sz w:val="30"/>
          <w:szCs w:val="30"/>
        </w:rPr>
      </w:pPr>
      <w:r w:rsidRPr="00A017A4">
        <w:rPr>
          <w:rFonts w:asciiTheme="minorBidi" w:eastAsia="Times New Roman" w:hAnsiTheme="minorBidi"/>
          <w:b/>
          <w:bCs/>
          <w:color w:val="2C5E69"/>
          <w:kern w:val="36"/>
          <w:sz w:val="30"/>
          <w:szCs w:val="30"/>
          <w:rtl/>
        </w:rPr>
        <w:t>ثانياً: مصفوفة صلاحيات الإدارة التنفيذية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القيادة المثلى لفريق العمل من خلال معايير مرحلية متطورة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ربط الأهداف بالاستراتيجيات والخطط والتقييم الدوري</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رفع تقارير دورية لمجلس الإدارة بشأن ممارساتها للصلاحيات المفوضة بها</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رفع التقارير المالية ومشروع الموازنة التقديرية لاعتماده</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رفع التقويم الوظيفي للعاملين لاعتماده</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إصدار التعاميم والتعليمات الخاصة بسير العمل</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التوصية في التعيين للوظائف الشاغرة لاعتمادها</w:t>
      </w:r>
    </w:p>
    <w:p w:rsidR="00A017A4" w:rsidRPr="00A31949" w:rsidRDefault="001D39CD" w:rsidP="00A31949">
      <w:pPr>
        <w:shd w:val="clear" w:color="auto" w:fill="FFFFFF"/>
        <w:bidi w:val="0"/>
        <w:spacing w:after="0" w:line="360" w:lineRule="auto"/>
        <w:jc w:val="right"/>
        <w:textAlignment w:val="baseline"/>
        <w:rPr>
          <w:rFonts w:asciiTheme="minorBidi" w:eastAsia="Times New Roman" w:hAnsiTheme="minorBidi" w:hint="cs"/>
          <w:color w:val="0A0A0A"/>
          <w:sz w:val="30"/>
          <w:szCs w:val="30"/>
          <w:bdr w:val="none" w:sz="0" w:space="0" w:color="auto" w:frame="1"/>
          <w:rtl/>
        </w:rPr>
      </w:pPr>
      <w:r w:rsidRPr="00A31949">
        <w:rPr>
          <w:rFonts w:asciiTheme="minorBidi" w:eastAsia="Times New Roman" w:hAnsiTheme="minorBidi"/>
          <w:color w:val="0A0A0A"/>
          <w:sz w:val="30"/>
          <w:szCs w:val="30"/>
          <w:bdr w:val="none" w:sz="0" w:space="0" w:color="auto" w:frame="1"/>
          <w:rtl/>
        </w:rPr>
        <w:t>رفع تقرير بإنهاء العقود الوظيفية للمجلس</w:t>
      </w:r>
    </w:p>
    <w:p w:rsidR="00A017A4" w:rsidRDefault="00A017A4" w:rsidP="00A017A4">
      <w:pPr>
        <w:shd w:val="clear" w:color="auto" w:fill="FFFFFF"/>
        <w:bidi w:val="0"/>
        <w:spacing w:after="0" w:line="390" w:lineRule="atLeast"/>
        <w:ind w:left="-360"/>
        <w:jc w:val="right"/>
        <w:textAlignment w:val="baseline"/>
        <w:rPr>
          <w:rFonts w:ascii="Tahoma" w:eastAsia="Times New Roman" w:hAnsi="Tahoma" w:cs="Tahoma" w:hint="cs"/>
          <w:b/>
          <w:bCs/>
          <w:color w:val="0A0A0A"/>
          <w:sz w:val="21"/>
          <w:szCs w:val="21"/>
          <w:bdr w:val="none" w:sz="0" w:space="0" w:color="auto" w:frame="1"/>
          <w:rtl/>
        </w:rPr>
      </w:pPr>
    </w:p>
    <w:p w:rsidR="001D39CD" w:rsidRDefault="001D39CD" w:rsidP="00A31949">
      <w:pPr>
        <w:shd w:val="clear" w:color="auto" w:fill="FFFFFF"/>
        <w:bidi w:val="0"/>
        <w:spacing w:after="0" w:line="360" w:lineRule="auto"/>
        <w:jc w:val="right"/>
        <w:textAlignment w:val="baseline"/>
        <w:rPr>
          <w:rFonts w:asciiTheme="minorBidi" w:eastAsia="Times New Roman" w:hAnsiTheme="minorBidi" w:hint="cs"/>
          <w:b/>
          <w:bCs/>
          <w:color w:val="2C5E69"/>
          <w:kern w:val="36"/>
          <w:sz w:val="30"/>
          <w:szCs w:val="30"/>
          <w:rtl/>
        </w:rPr>
      </w:pPr>
      <w:r w:rsidRPr="00A017A4">
        <w:rPr>
          <w:rFonts w:asciiTheme="minorBidi" w:eastAsia="Times New Roman" w:hAnsiTheme="minorBidi"/>
          <w:b/>
          <w:bCs/>
          <w:color w:val="2C5E69"/>
          <w:kern w:val="36"/>
          <w:sz w:val="30"/>
          <w:szCs w:val="30"/>
          <w:rtl/>
        </w:rPr>
        <w:t>ثالثاً: الواجبات تجاه الرؤساء التواصل بين أعضاء المجلس والإدارة التنفيذية</w:t>
      </w:r>
    </w:p>
    <w:p w:rsidR="00A31949" w:rsidRPr="001D39CD" w:rsidRDefault="00A31949"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bookmarkStart w:id="0" w:name="_GoBack"/>
      <w:bookmarkEnd w:id="0"/>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يتم توجيه الدعوة لعقد اجتماع من قبل رئيس المجلس أو أحد اللجان الفرعية عن المجلس</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عدم إلغاء أو تأجيل الاجتماعات المجدولة إلا بعد التنسيق والتشاور مع رئيس المجلس أو رئيس اللجنة</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لرئيس المجلس أن يدعو لاجتماع طارئ غير مجدول متى رأى ضرورة ذلك أو بناءً على طلب من أعضاء المجلس</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lastRenderedPageBreak/>
        <w:t>أن يتم التنسيق بين رئيس المجلس وأمين السر والأعضاء والرئيس التنفيذي عند وضع جدول أعمال الاجتماع</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يتوجب على الإدارة التنفيذية تزويد مجلس الإدارة بتقرير شهري يتضمن أدائها</w:t>
      </w:r>
    </w:p>
    <w:p w:rsidR="001D39CD" w:rsidRPr="001D39CD" w:rsidRDefault="001D39CD" w:rsidP="00A31949">
      <w:pPr>
        <w:shd w:val="clear" w:color="auto" w:fill="FFFFFF"/>
        <w:bidi w:val="0"/>
        <w:spacing w:after="0" w:line="360" w:lineRule="auto"/>
        <w:jc w:val="right"/>
        <w:textAlignment w:val="baseline"/>
        <w:rPr>
          <w:rFonts w:ascii="Tahoma" w:eastAsia="Times New Roman" w:hAnsi="Tahoma" w:cs="Tahoma"/>
          <w:color w:val="0A0A0A"/>
          <w:sz w:val="21"/>
          <w:szCs w:val="21"/>
        </w:rPr>
      </w:pPr>
      <w:r w:rsidRPr="00A31949">
        <w:rPr>
          <w:rFonts w:asciiTheme="minorBidi" w:eastAsia="Times New Roman" w:hAnsiTheme="minorBidi"/>
          <w:color w:val="0A0A0A"/>
          <w:sz w:val="30"/>
          <w:szCs w:val="30"/>
          <w:bdr w:val="none" w:sz="0" w:space="0" w:color="auto" w:frame="1"/>
          <w:rtl/>
        </w:rPr>
        <w:t>أمين مجلس الإدارة هو جهة التواصل مع أعضاء مجلس الإدارة في الأمور المتعلقة بشؤون مجلس الإدارة وفي حال غيابه يقوم مقامه مفوض من الإدارة التنفيذية ممن لهم علاقة وخبرة بأعمال المجلس بموجب توجيه من المدير التنفيذي بالقيام بالمهمة إلى حين عودة أمين المجلس</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لأعضاء مجلس الإدارة واللجان التواصل مع المدير التنفيذي والمدير المالي أو أي من أعضاء الإدارة التنفيذية عند الحاجة لذلك</w:t>
      </w:r>
    </w:p>
    <w:p w:rsidR="001D39CD" w:rsidRPr="001D39CD" w:rsidRDefault="001D39CD" w:rsidP="00A31949">
      <w:pPr>
        <w:shd w:val="clear" w:color="auto" w:fill="FFFFFF"/>
        <w:bidi w:val="0"/>
        <w:spacing w:after="0" w:line="360" w:lineRule="auto"/>
        <w:jc w:val="right"/>
        <w:textAlignment w:val="baseline"/>
        <w:rPr>
          <w:rFonts w:asciiTheme="minorBidi" w:eastAsia="Times New Roman" w:hAnsiTheme="minorBidi"/>
          <w:color w:val="0A0A0A"/>
          <w:sz w:val="30"/>
          <w:szCs w:val="30"/>
          <w:bdr w:val="none" w:sz="0" w:space="0" w:color="auto" w:frame="1"/>
        </w:rPr>
      </w:pPr>
      <w:r w:rsidRPr="00A31949">
        <w:rPr>
          <w:rFonts w:asciiTheme="minorBidi" w:eastAsia="Times New Roman" w:hAnsiTheme="minorBidi"/>
          <w:color w:val="0A0A0A"/>
          <w:sz w:val="30"/>
          <w:szCs w:val="30"/>
          <w:bdr w:val="none" w:sz="0" w:space="0" w:color="auto" w:frame="1"/>
          <w:rtl/>
        </w:rPr>
        <w:t>المسؤوليات 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p>
    <w:p w:rsidR="00F66059" w:rsidRPr="001D39CD" w:rsidRDefault="00A31949" w:rsidP="00A017A4">
      <w:pPr>
        <w:rPr>
          <w:rFonts w:hint="cs"/>
        </w:rPr>
      </w:pPr>
    </w:p>
    <w:sectPr w:rsidR="00F66059" w:rsidRPr="001D39CD" w:rsidSect="00A017A4">
      <w:pgSz w:w="11906" w:h="16838"/>
      <w:pgMar w:top="1440" w:right="794" w:bottom="1440" w:left="79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5106"/>
    <w:multiLevelType w:val="multilevel"/>
    <w:tmpl w:val="523ACF1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5031775"/>
    <w:multiLevelType w:val="multilevel"/>
    <w:tmpl w:val="1B12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6D2B94"/>
    <w:multiLevelType w:val="multilevel"/>
    <w:tmpl w:val="1DC463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A3384D"/>
    <w:multiLevelType w:val="multilevel"/>
    <w:tmpl w:val="3ABC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A64B71"/>
    <w:multiLevelType w:val="multilevel"/>
    <w:tmpl w:val="3FD41E5E"/>
    <w:lvl w:ilvl="0">
      <w:start w:val="1"/>
      <w:numFmt w:val="decimal"/>
      <w:lvlText w:val="%1."/>
      <w:lvlJc w:val="left"/>
      <w:pPr>
        <w:tabs>
          <w:tab w:val="num" w:pos="2628"/>
        </w:tabs>
        <w:ind w:left="2628" w:hanging="360"/>
      </w:pPr>
      <w:rPr>
        <w:lang w:bidi="ar-SA"/>
      </w:r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09"/>
    <w:rsid w:val="001D39CD"/>
    <w:rsid w:val="002A18FA"/>
    <w:rsid w:val="00777E4F"/>
    <w:rsid w:val="008D5909"/>
    <w:rsid w:val="00A017A4"/>
    <w:rsid w:val="00A31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1D39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D39C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D39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39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1D39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D39C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D39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3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3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524</Words>
  <Characters>2989</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CompuNeT</dc:creator>
  <cp:keywords/>
  <dc:description/>
  <cp:lastModifiedBy>CompuNeT</cp:lastModifiedBy>
  <cp:revision>3</cp:revision>
  <dcterms:created xsi:type="dcterms:W3CDTF">2021-01-24T05:45:00Z</dcterms:created>
  <dcterms:modified xsi:type="dcterms:W3CDTF">2021-01-24T06:01:00Z</dcterms:modified>
</cp:coreProperties>
</file>